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E2" w:rsidRDefault="00F333E2">
      <w:pPr>
        <w:pStyle w:val="ConsPlusNormal"/>
        <w:jc w:val="both"/>
      </w:pP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</w:t>
      </w: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от 28 сентября 2015 г. N 1029</w:t>
      </w: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КРИТЕРИЕВ</w:t>
      </w: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ОТНЕСЕНИЯ ОБЪЕКТОВ, ОКАЗЫВАЮЩИХ НЕГАТИВНОЕ ВОЗДЕЙСТВИЕ</w:t>
      </w: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НА ОКРУЖАЮЩУЮ СРЕДУ, К ОБЪЕКТАМ I, II, III И IV КАТЕГОРИЙ</w:t>
      </w:r>
    </w:p>
    <w:bookmarkEnd w:id="0"/>
    <w:p w:rsidR="00F333E2" w:rsidRPr="00F333E2" w:rsidRDefault="00F333E2" w:rsidP="00F333E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 постановляет: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прилагаемые </w:t>
      </w:r>
      <w:hyperlink w:anchor="P26" w:history="1">
        <w:r w:rsidRPr="00F333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критерии</w:t>
        </w:r>
      </w:hyperlink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отнесения объектов, оказывающих негативное воздействие на окружающую среду, к объектам I, II, III и IV категорий.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F333E2" w:rsidRPr="00F333E2" w:rsidRDefault="00F333E2" w:rsidP="00F333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333E2" w:rsidRPr="00F333E2" w:rsidRDefault="00F333E2" w:rsidP="00F333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Д.МЕДВЕДЕВ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</w:p>
    <w:p w:rsidR="00F333E2" w:rsidRPr="00F333E2" w:rsidRDefault="00F333E2" w:rsidP="00F333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F333E2" w:rsidRPr="00F333E2" w:rsidRDefault="00F333E2" w:rsidP="00F333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333E2" w:rsidRPr="00F333E2" w:rsidRDefault="00F333E2" w:rsidP="00F333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от 28 сентября 2015 г. N 1029</w:t>
      </w:r>
    </w:p>
    <w:p w:rsidR="00F333E2" w:rsidRPr="00F333E2" w:rsidRDefault="00F333E2" w:rsidP="00F333E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6"/>
      <w:bookmarkEnd w:id="1"/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КРИТЕРИИ</w:t>
      </w: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ОТНЕСЕНИЯ ОБЪЕКТОВ, ОКАЗЫВАЮЩИХ НЕГАТИВНОЕ ВОЗДЕЙСТВИЕ</w:t>
      </w:r>
    </w:p>
    <w:p w:rsidR="00F333E2" w:rsidRPr="00F333E2" w:rsidRDefault="00F333E2" w:rsidP="00F333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НА ОКРУЖАЮЩУЮ СРЕДУ, К ОБЪЕКТАМ I, II, III И IV КАТЕГОРИЙ</w:t>
      </w:r>
    </w:p>
    <w:p w:rsidR="00F333E2" w:rsidRPr="00F333E2" w:rsidRDefault="00F333E2" w:rsidP="00F333E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0"/>
      <w:bookmarkEnd w:id="2"/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I. Критерии отнесения объектов, оказывающих значительное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негативное воздействие на окружающую среду и относящихся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 областям применения наилучших доступных технологий,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 объектам I категории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1. Осуществление хозяйственной и (или) иной деятельности: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а) по производству кокса;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б) по добыче сырой нефти и природного газа, включая переработку природного газа;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в) по производству нефтепродуктов;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г) по добыче и обогащению железных руд;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ж) по металлургическому производству с использованием оборудования: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нанесения защитных распыленных металлических покрытий (с подачей 2 тонн нерафинированной стали в час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литейного производства черных металлов (с проектной производительностью 20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производства ферросплавов;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з) по производству следующей неметаллической минеральной продукции: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стекло и изделия из стекла, включая стекловолокно (с проектной производительностью 20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цементный клинкер во вращающихся печах или в других печах (с проектной мощностью 500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известь (негашеная, гашеная) при наличии печей (с проектной мощностью 50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и) по производству химических веществ и химических продуктов следующих основных органических химических веществ: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простые углеводороды (линейные или циклические, насыщенные или ненасыщенные, алифатические или ароматические);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серосодержащие углеводороды;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азотсодержащие углеводороды - амиды, азотистые соединения, нитросоединения или нитратные соединения, нитрилы, цианаты, изоцианаты;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фосфорсодержащие углеводороды;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галогенированные углеводороды;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полимеры, химические синтетические волокна и нити на основе целлюлозы;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синтетический каучук;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синтетические красители и пигменты;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поверхностно-активные вещества;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к) по производству химических веществ и химических продуктов следующих неорганических веществ: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газы - аммиак, хлор или хлористый водород, фтор или фтористый водород, оксиды углерода, соединения серы, оксиды азота, диоксид серы, карбонилхлорид (фосген);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- гидроксид аммония, гидроксид калия, гидроксид натрия;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соли - хлорид аммония, хлорат калия, карбонат калия, карбонат натрия, перборат, нитрат серебра;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неметаллы, оксиды металлов или другие неорганические соединения - карбид кальция, кремний, карбид кремния;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 неорганические химикаты - цианид натрия, цианид калия;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оксид магния (с проектной производительностью 50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м) по производству фармацевтических субстанций;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 обезвреживанию отходов производства и потребления I - III классов опасности, включая пестициды и агрохимикаты, пришедшие в негодность и (или) запрещенные к применению;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п) по захоронению следующих отходов производства и потребления: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отходы I - III классов опасности;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отходы IV и V классов опасности, включая твердые коммунальные отходы (20 тыс. тонн в год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с) по производству целлюлозы и древесной массы;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т) по производству бумаги и картона (с проектной производительностью 20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х) по производству следующих пищевых продуктов: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мясо и мясопродукты (с проектной производительностью 50 тонн готовой продукции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растительные и животные масла и жиры (с проектной производительностью 75 тонн готовой продукции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ц) по разведению сельскохозяйственной птицы (с проектной мощностью 40 тыс. птицемест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щ) по добыче угля, включая добычу и обогащение каменного угля, антрацита и бурого угля (лигнита);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ы) связанной с обрабатывающим производством, на котором выполняются работы: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02"/>
      <w:bookmarkEnd w:id="3"/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II. Критерии отнесения объектов, оказывающих умеренное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негативное воздействие на окружающую среду, к объектам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II категории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2. Осуществление хозяйственной и (или) иной деятельности: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в) по металлургическому производству с использованием оборудования: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нанесения защитных распыленных металлических покрытий (с подачей менее 2 тонн нерафинированной стали в час);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литейного производства черных металлов (с проектной производительностью менее 20 тонн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г) по производству следующей неметаллической минеральной продукции: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стекло и изделия из стекла, включая стекловолокно (с проектной производительностью менее 20 тонн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цементный клинкер во вращающихся печах или в других печах (с проектной мощностью менее 500 тонн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известь (негашеная, гашеная) при наличии печей (с проектной мощностью менее 50 тонн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д) по производству оксида магния (с проектной производительностью менее 50 тонн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ж) по производству бумаги и картона (с проектной производительностью менее 20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к) по производству следующих пищевых продуктов: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мясо и мясопродукты (с проектной производительностью менее 50 тонн готовой продукции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растительные и животные масла и жиры (с проектной производительностью менее 75 тонн готовой продукции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л) по разведению сельскохозяйственной птицы (с проектной мощностью менее 40 тыс. птицемест);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н) связанной с обрабатывающим производством, на котором выполняются работы: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п) по добыче урановой и ториевой руд, обогащению урановых и ториевых руд, производству ядерного топлива;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р) по эксплуатации: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радиационных источников (за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т) по производству искусственного графита;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у) по производству газа путем газификации и (или) сжижения: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углей, включая антрацит, каменный уголь, бурый уголь (лигнит);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других твердых топлив (на установках номинальной проектной мощностью 20 МВт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ф) по производству сырой нефти из горючих (битуминозных) сланцев и песка;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ц) по складированию и хранению: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нефти и продуктов ее переработки (с проектной вместимостью 200 тыс. тонн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пестицидов и агрохимикатов (с проектной вместимостью 50 тонн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ч) по сбору, обработке и утилизации отходов в части, касающейся: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хранения отходов производства и потребления I - III классов опасности;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хранения отходов производства и потребления IV и V классов опасности (50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обезвреживания отходов производства и потребления IV и V классов опасности (с проектной мощностью менее 3 тонн в час);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щ) по разведению крупного рогатого скота (с проектной мощностью 400 мест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э) по хранению и (или) уничтожению химического оружия.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3. Объект является: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б) морским портом;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г) объектом инфраструктуры железнодорожного транспорта.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III. Критерии отнесения объектов, оказывающих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незначительное негативное воздействие на окружающую среду,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к объектам III категории</w:t>
      </w:r>
    </w:p>
    <w:p w:rsidR="00F333E2" w:rsidRPr="00F333E2" w:rsidRDefault="00F333E2" w:rsidP="00F33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4. Эксплуатация исследовательских ядерных установок нулевой мощности, радиационных источников, содержащих в своем составе только радионуклидные источники четвертой и пятой категорий.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Осуществление хозяйственной и (или) иной деятельности, не указанной в </w:t>
      </w:r>
      <w:hyperlink w:anchor="P30" w:history="1">
        <w:r w:rsidRPr="00F333E2">
          <w:rPr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hyperlink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2" w:history="1">
        <w:r w:rsidRPr="00F333E2">
          <w:rPr>
            <w:rFonts w:ascii="Times New Roman" w:hAnsi="Times New Roman" w:cs="Times New Roman"/>
            <w:color w:val="000000" w:themeColor="text1"/>
            <w:sz w:val="24"/>
            <w:szCs w:val="24"/>
          </w:rPr>
          <w:t>II</w:t>
        </w:r>
      </w:hyperlink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74" w:history="1">
        <w:r w:rsidRPr="00F333E2">
          <w:rPr>
            <w:rFonts w:ascii="Times New Roman" w:hAnsi="Times New Roman" w:cs="Times New Roman"/>
            <w:color w:val="000000" w:themeColor="text1"/>
            <w:sz w:val="24"/>
            <w:szCs w:val="24"/>
          </w:rPr>
          <w:t>IV разделах</w:t>
        </w:r>
      </w:hyperlink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 и не соответствующей уровням воздействия на окружающую среду, определенным в </w:t>
      </w:r>
      <w:hyperlink w:anchor="P174" w:history="1">
        <w:r w:rsidRPr="00F333E2">
          <w:rPr>
            <w:rFonts w:ascii="Times New Roman" w:hAnsi="Times New Roman" w:cs="Times New Roman"/>
            <w:color w:val="000000" w:themeColor="text1"/>
            <w:sz w:val="24"/>
            <w:szCs w:val="24"/>
          </w:rPr>
          <w:t>IV разделе</w:t>
        </w:r>
      </w:hyperlink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4"/>
      <w:bookmarkEnd w:id="4"/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IV. Критерии отнесения объектов, оказывающих негативное</w:t>
      </w:r>
    </w:p>
    <w:p w:rsidR="00F333E2" w:rsidRPr="00F333E2" w:rsidRDefault="00F333E2" w:rsidP="00F33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воздействие на окружающую среду, к объектам IV категории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77"/>
      <w:bookmarkEnd w:id="5"/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6. Наличие одновременно следующих критериев: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на объекте стационарных источников загрязнения окружающей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79"/>
      <w:bookmarkEnd w:id="6"/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</w:r>
      <w:hyperlink w:anchor="P179" w:history="1">
        <w:r w:rsidRPr="00F333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6</w:t>
        </w:r>
      </w:hyperlink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F333E2" w:rsidRPr="00F333E2" w:rsidRDefault="00F333E2" w:rsidP="00F33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w:anchor="P177" w:history="1">
        <w:r w:rsidRPr="00F333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F33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sectPr w:rsidR="00F333E2" w:rsidRPr="00F333E2" w:rsidSect="002745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E2" w:rsidRDefault="00F333E2" w:rsidP="00F333E2">
      <w:pPr>
        <w:spacing w:after="0" w:line="240" w:lineRule="auto"/>
      </w:pPr>
      <w:r>
        <w:separator/>
      </w:r>
    </w:p>
  </w:endnote>
  <w:endnote w:type="continuationSeparator" w:id="0">
    <w:p w:rsidR="00F333E2" w:rsidRDefault="00F333E2" w:rsidP="00F3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94013"/>
      <w:docPartObj>
        <w:docPartGallery w:val="Page Numbers (Bottom of Page)"/>
        <w:docPartUnique/>
      </w:docPartObj>
    </w:sdtPr>
    <w:sdtContent>
      <w:p w:rsidR="00F333E2" w:rsidRDefault="00F333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DB">
          <w:rPr>
            <w:noProof/>
          </w:rPr>
          <w:t>1</w:t>
        </w:r>
        <w:r>
          <w:fldChar w:fldCharType="end"/>
        </w:r>
      </w:p>
    </w:sdtContent>
  </w:sdt>
  <w:p w:rsidR="00F333E2" w:rsidRDefault="00F33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E2" w:rsidRDefault="00F333E2" w:rsidP="00F333E2">
      <w:pPr>
        <w:spacing w:after="0" w:line="240" w:lineRule="auto"/>
      </w:pPr>
      <w:r>
        <w:separator/>
      </w:r>
    </w:p>
  </w:footnote>
  <w:footnote w:type="continuationSeparator" w:id="0">
    <w:p w:rsidR="00F333E2" w:rsidRDefault="00F333E2" w:rsidP="00F3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E2"/>
    <w:rsid w:val="000073DB"/>
    <w:rsid w:val="00010160"/>
    <w:rsid w:val="0001434B"/>
    <w:rsid w:val="00080356"/>
    <w:rsid w:val="000E28EE"/>
    <w:rsid w:val="00113CE7"/>
    <w:rsid w:val="00160E9B"/>
    <w:rsid w:val="00174464"/>
    <w:rsid w:val="001D6125"/>
    <w:rsid w:val="00236094"/>
    <w:rsid w:val="00244288"/>
    <w:rsid w:val="00246B2E"/>
    <w:rsid w:val="00264E13"/>
    <w:rsid w:val="002863AF"/>
    <w:rsid w:val="002D4886"/>
    <w:rsid w:val="002D6AEA"/>
    <w:rsid w:val="002E51E4"/>
    <w:rsid w:val="0039178F"/>
    <w:rsid w:val="003C5AD5"/>
    <w:rsid w:val="004C4A83"/>
    <w:rsid w:val="004E572F"/>
    <w:rsid w:val="005B2AEC"/>
    <w:rsid w:val="005D38B4"/>
    <w:rsid w:val="006003F6"/>
    <w:rsid w:val="00612FA8"/>
    <w:rsid w:val="006831B6"/>
    <w:rsid w:val="006A3E7F"/>
    <w:rsid w:val="006C5600"/>
    <w:rsid w:val="006D3787"/>
    <w:rsid w:val="00794C9B"/>
    <w:rsid w:val="007E2293"/>
    <w:rsid w:val="00851956"/>
    <w:rsid w:val="008946A6"/>
    <w:rsid w:val="008C7E3B"/>
    <w:rsid w:val="008D0741"/>
    <w:rsid w:val="008E1451"/>
    <w:rsid w:val="00944F7C"/>
    <w:rsid w:val="00947965"/>
    <w:rsid w:val="00A424C1"/>
    <w:rsid w:val="00A435DB"/>
    <w:rsid w:val="00A73A59"/>
    <w:rsid w:val="00AF1E49"/>
    <w:rsid w:val="00B135E1"/>
    <w:rsid w:val="00B23573"/>
    <w:rsid w:val="00B50A92"/>
    <w:rsid w:val="00B6028C"/>
    <w:rsid w:val="00B92A81"/>
    <w:rsid w:val="00BA69ED"/>
    <w:rsid w:val="00BC6A20"/>
    <w:rsid w:val="00C03CE9"/>
    <w:rsid w:val="00C26C00"/>
    <w:rsid w:val="00C439F2"/>
    <w:rsid w:val="00C53F70"/>
    <w:rsid w:val="00C57421"/>
    <w:rsid w:val="00C72944"/>
    <w:rsid w:val="00D1547C"/>
    <w:rsid w:val="00D44907"/>
    <w:rsid w:val="00D61D2B"/>
    <w:rsid w:val="00D76CF1"/>
    <w:rsid w:val="00D84CF6"/>
    <w:rsid w:val="00DF1011"/>
    <w:rsid w:val="00DF3E11"/>
    <w:rsid w:val="00E80793"/>
    <w:rsid w:val="00EE7A71"/>
    <w:rsid w:val="00F023F5"/>
    <w:rsid w:val="00F333E2"/>
    <w:rsid w:val="00F36105"/>
    <w:rsid w:val="00F75156"/>
    <w:rsid w:val="00FA6906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3E2"/>
  </w:style>
  <w:style w:type="paragraph" w:styleId="a5">
    <w:name w:val="footer"/>
    <w:basedOn w:val="a"/>
    <w:link w:val="a6"/>
    <w:uiPriority w:val="99"/>
    <w:unhideWhenUsed/>
    <w:rsid w:val="00F3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3E2"/>
  </w:style>
  <w:style w:type="paragraph" w:styleId="a5">
    <w:name w:val="footer"/>
    <w:basedOn w:val="a"/>
    <w:link w:val="a6"/>
    <w:uiPriority w:val="99"/>
    <w:unhideWhenUsed/>
    <w:rsid w:val="00F3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tech14</dc:creator>
  <cp:lastModifiedBy>tech14</cp:lastModifiedBy>
  <cp:revision>2</cp:revision>
  <dcterms:created xsi:type="dcterms:W3CDTF">2016-05-11T06:01:00Z</dcterms:created>
  <dcterms:modified xsi:type="dcterms:W3CDTF">2016-05-11T06:01:00Z</dcterms:modified>
</cp:coreProperties>
</file>